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F94F" w14:textId="40C597AB" w:rsidR="0A62DC2D" w:rsidRDefault="0A62DC2D" w:rsidP="7CB1EE22">
      <w:pPr>
        <w:pStyle w:val="Heading1"/>
        <w:jc w:val="right"/>
        <w:rPr>
          <w:sz w:val="28"/>
          <w:szCs w:val="28"/>
        </w:rPr>
      </w:pPr>
      <w:r w:rsidRPr="21BE3BB7">
        <w:rPr>
          <w:sz w:val="32"/>
          <w:szCs w:val="32"/>
        </w:rPr>
        <w:t>3/5/2025</w:t>
      </w:r>
    </w:p>
    <w:p w14:paraId="3E0EFCC7" w14:textId="6417BF1F" w:rsidR="00991385" w:rsidRDefault="00692299" w:rsidP="00D06A03">
      <w:pPr>
        <w:pStyle w:val="Heading1"/>
      </w:pPr>
      <w:r>
        <w:t xml:space="preserve">PNM’s Proposed </w:t>
      </w:r>
      <w:r w:rsidR="006351E7">
        <w:t xml:space="preserve">12-CP Transmission Allocation </w:t>
      </w:r>
      <w:r w:rsidR="46DCCCFF">
        <w:t>M</w:t>
      </w:r>
      <w:r w:rsidR="006351E7">
        <w:t>ethod</w:t>
      </w:r>
      <w:r w:rsidR="7E919175">
        <w:t xml:space="preserve"> for N</w:t>
      </w:r>
      <w:r w:rsidR="4BE360DA">
        <w:t>e</w:t>
      </w:r>
      <w:r w:rsidR="7E919175">
        <w:t>xt Rate Case Filing</w:t>
      </w:r>
    </w:p>
    <w:p w14:paraId="055000D5" w14:textId="1E69A24D" w:rsidR="008E2C6D" w:rsidRDefault="006B31D8" w:rsidP="008E2C6D">
      <w:r>
        <w:t>Since</w:t>
      </w:r>
      <w:r w:rsidR="008E2C6D">
        <w:t xml:space="preserve"> the </w:t>
      </w:r>
      <w:r w:rsidR="00542BB8">
        <w:t>F</w:t>
      </w:r>
      <w:r w:rsidR="008E2C6D">
        <w:t xml:space="preserve">inal </w:t>
      </w:r>
      <w:r w:rsidR="00542BB8">
        <w:t>O</w:t>
      </w:r>
      <w:r w:rsidR="008E2C6D">
        <w:t xml:space="preserve">rder in the 2015 case, PNM </w:t>
      </w:r>
      <w:r w:rsidR="15B66692">
        <w:t xml:space="preserve">has </w:t>
      </w:r>
      <w:r w:rsidR="3A456641">
        <w:t>used</w:t>
      </w:r>
      <w:bookmarkStart w:id="0" w:name="_Hlk191294526"/>
      <w:r w:rsidR="008E2C6D">
        <w:t xml:space="preserve"> the </w:t>
      </w:r>
      <w:bookmarkEnd w:id="0"/>
      <w:r w:rsidR="00C84A44">
        <w:t>3S1W</w:t>
      </w:r>
      <w:r w:rsidR="008E2C6D">
        <w:t xml:space="preserve"> methodology for transmission </w:t>
      </w:r>
      <w:r w:rsidR="00D00CFC">
        <w:t xml:space="preserve">cost </w:t>
      </w:r>
      <w:r w:rsidR="008E2C6D">
        <w:t>allocation</w:t>
      </w:r>
      <w:r w:rsidR="006A5BBA">
        <w:t xml:space="preserve"> among customer classes</w:t>
      </w:r>
      <w:r w:rsidR="008E2C6D">
        <w:t xml:space="preserve">. </w:t>
      </w:r>
      <w:r w:rsidR="0F7A7E34">
        <w:t>Previously</w:t>
      </w:r>
      <w:r w:rsidR="008E2C6D">
        <w:t>, PNM utilized</w:t>
      </w:r>
      <w:r w:rsidR="002371CF">
        <w:t xml:space="preserve"> </w:t>
      </w:r>
      <w:r w:rsidR="00D00CFC">
        <w:t>the</w:t>
      </w:r>
      <w:r w:rsidR="008E2C6D">
        <w:t xml:space="preserve"> 12CP</w:t>
      </w:r>
      <w:r w:rsidR="002371CF">
        <w:t xml:space="preserve"> method</w:t>
      </w:r>
      <w:r w:rsidR="004828D8">
        <w:t>ology</w:t>
      </w:r>
      <w:r w:rsidR="008E2C6D">
        <w:t xml:space="preserve"> (12 Coincident Peak) and is now proposing to </w:t>
      </w:r>
      <w:proofErr w:type="gramStart"/>
      <w:r w:rsidR="008E2C6D">
        <w:t xml:space="preserve">revert </w:t>
      </w:r>
      <w:r w:rsidR="006A5BBA">
        <w:t>back</w:t>
      </w:r>
      <w:proofErr w:type="gramEnd"/>
      <w:r w:rsidR="006A5BBA">
        <w:t xml:space="preserve"> </w:t>
      </w:r>
      <w:r w:rsidR="008E2C6D">
        <w:t xml:space="preserve">to this approach. The 12CP allocation methodology aligns with existing FERC </w:t>
      </w:r>
      <w:r w:rsidR="0033099D" w:rsidRPr="0033099D">
        <w:t>well-established precedent</w:t>
      </w:r>
      <w:r w:rsidR="006A5BBA">
        <w:t xml:space="preserve"> </w:t>
      </w:r>
      <w:r w:rsidR="008E2C6D">
        <w:t xml:space="preserve">for cost allocation, which </w:t>
      </w:r>
      <w:r w:rsidR="006A5BBA">
        <w:t xml:space="preserve">is </w:t>
      </w:r>
      <w:r w:rsidR="008E2C6D">
        <w:t xml:space="preserve">used by </w:t>
      </w:r>
      <w:r w:rsidR="006A5BBA">
        <w:t>utilities with FERC jurisdictional rates</w:t>
      </w:r>
      <w:r w:rsidR="008E2C6D">
        <w:t>.</w:t>
      </w:r>
      <w:r w:rsidR="006A5BBA">
        <w:t xml:space="preserve"> </w:t>
      </w:r>
      <w:r w:rsidR="005C6EE9">
        <w:t xml:space="preserve"> </w:t>
      </w:r>
      <w:r w:rsidR="006A5BBA">
        <w:t xml:space="preserve">PNM utilizes </w:t>
      </w:r>
      <w:r w:rsidR="00D00CFC">
        <w:t>the</w:t>
      </w:r>
      <w:r w:rsidR="006A5BBA">
        <w:t xml:space="preserve"> 12CP to allocate transmission related costs between its Retail and FERC jurisdictions. </w:t>
      </w:r>
      <w:r w:rsidR="007511D2" w:rsidRPr="007511D2">
        <w:t>By adopting the same</w:t>
      </w:r>
      <w:r w:rsidR="0033099D">
        <w:t xml:space="preserve">12CP allocation </w:t>
      </w:r>
      <w:r w:rsidR="006A5BBA">
        <w:t xml:space="preserve">methodology, PNM will provide a </w:t>
      </w:r>
      <w:r w:rsidR="006A5BBA" w:rsidRPr="00462F8F">
        <w:t>more consistent</w:t>
      </w:r>
      <w:r w:rsidR="00CB2BFE" w:rsidRPr="00462F8F">
        <w:t xml:space="preserve"> and</w:t>
      </w:r>
      <w:r w:rsidR="00F82543" w:rsidRPr="00462F8F">
        <w:t xml:space="preserve"> stable</w:t>
      </w:r>
      <w:r w:rsidR="006A5BBA">
        <w:t xml:space="preserve"> </w:t>
      </w:r>
      <w:r w:rsidR="00F82543">
        <w:t xml:space="preserve">allocation </w:t>
      </w:r>
      <w:r w:rsidR="008E2C6D">
        <w:t xml:space="preserve">of </w:t>
      </w:r>
      <w:r w:rsidR="0041603D">
        <w:t xml:space="preserve">transmission related </w:t>
      </w:r>
      <w:r w:rsidR="008E2C6D">
        <w:t>costs</w:t>
      </w:r>
      <w:r w:rsidR="006A5BBA">
        <w:t xml:space="preserve"> </w:t>
      </w:r>
      <w:r w:rsidR="00D076D2">
        <w:t xml:space="preserve">to </w:t>
      </w:r>
      <w:r w:rsidR="0033099D">
        <w:t xml:space="preserve">PNM Retail </w:t>
      </w:r>
      <w:r w:rsidR="00D076D2">
        <w:t xml:space="preserve">customers </w:t>
      </w:r>
      <w:r w:rsidR="006A5BBA">
        <w:t>based on customer demand during the year</w:t>
      </w:r>
      <w:r w:rsidR="008E2C6D">
        <w:t>.</w:t>
      </w:r>
    </w:p>
    <w:p w14:paraId="2E57BB3A" w14:textId="47D4E4D4" w:rsidR="008E2C6D" w:rsidRDefault="2FC699AA">
      <w:r w:rsidRPr="0AEC51B5">
        <w:rPr>
          <w:rFonts w:ascii="Aptos" w:eastAsia="Aptos" w:hAnsi="Aptos" w:cs="Aptos"/>
        </w:rPr>
        <w:t xml:space="preserve">Traditionally, all transmission capacity related costs are classified as demand related. </w:t>
      </w:r>
      <w:r w:rsidR="00701AE7">
        <w:rPr>
          <w:rFonts w:ascii="Aptos" w:eastAsia="Aptos" w:hAnsi="Aptos" w:cs="Aptos"/>
        </w:rPr>
        <w:t>PNM’s</w:t>
      </w:r>
      <w:r w:rsidRPr="0AEC51B5">
        <w:rPr>
          <w:rFonts w:ascii="Aptos" w:eastAsia="Aptos" w:hAnsi="Aptos" w:cs="Aptos"/>
        </w:rPr>
        <w:t xml:space="preserve"> currently proposed methodology for generation costs, which incorporates an energy-based </w:t>
      </w:r>
      <w:r w:rsidRPr="7C654EC0">
        <w:rPr>
          <w:rFonts w:ascii="Aptos" w:eastAsia="Aptos" w:hAnsi="Aptos" w:cs="Aptos"/>
        </w:rPr>
        <w:t xml:space="preserve">allocation </w:t>
      </w:r>
      <w:r w:rsidRPr="0AEC51B5">
        <w:rPr>
          <w:rFonts w:ascii="Aptos" w:eastAsia="Aptos" w:hAnsi="Aptos" w:cs="Aptos"/>
        </w:rPr>
        <w:t xml:space="preserve">component, </w:t>
      </w:r>
      <w:r w:rsidR="4F586CD0" w:rsidRPr="3C6965E0">
        <w:rPr>
          <w:rFonts w:ascii="Aptos" w:eastAsia="Aptos" w:hAnsi="Aptos" w:cs="Aptos"/>
        </w:rPr>
        <w:t xml:space="preserve">and a capacity </w:t>
      </w:r>
      <w:r w:rsidR="4F586CD0" w:rsidRPr="6CA44CC3">
        <w:rPr>
          <w:rFonts w:ascii="Aptos" w:eastAsia="Aptos" w:hAnsi="Aptos" w:cs="Aptos"/>
        </w:rPr>
        <w:t xml:space="preserve">component based on </w:t>
      </w:r>
      <w:r w:rsidR="4F586CD0" w:rsidRPr="7A9BFAA0">
        <w:rPr>
          <w:rFonts w:ascii="Aptos" w:eastAsia="Aptos" w:hAnsi="Aptos" w:cs="Aptos"/>
        </w:rPr>
        <w:t>risk hours</w:t>
      </w:r>
      <w:r w:rsidR="4F586CD0" w:rsidRPr="2313059E">
        <w:rPr>
          <w:rFonts w:ascii="Aptos" w:eastAsia="Aptos" w:hAnsi="Aptos" w:cs="Aptos"/>
        </w:rPr>
        <w:t xml:space="preserve"> </w:t>
      </w:r>
      <w:r w:rsidR="076D7B7B" w:rsidRPr="2A42B080">
        <w:rPr>
          <w:rFonts w:ascii="Aptos" w:eastAsia="Aptos" w:hAnsi="Aptos" w:cs="Aptos"/>
        </w:rPr>
        <w:t>(</w:t>
      </w:r>
      <w:r w:rsidR="4F586CD0" w:rsidRPr="326C9B9F">
        <w:rPr>
          <w:rFonts w:ascii="Aptos" w:eastAsia="Aptos" w:hAnsi="Aptos" w:cs="Aptos"/>
        </w:rPr>
        <w:t xml:space="preserve">and not </w:t>
      </w:r>
      <w:r w:rsidR="4F586CD0" w:rsidRPr="4BC3BC13">
        <w:rPr>
          <w:rFonts w:ascii="Aptos" w:eastAsia="Aptos" w:hAnsi="Aptos" w:cs="Aptos"/>
        </w:rPr>
        <w:t xml:space="preserve">on gross peak </w:t>
      </w:r>
      <w:r w:rsidR="4F586CD0" w:rsidRPr="1C073FCB">
        <w:rPr>
          <w:rFonts w:ascii="Aptos" w:eastAsia="Aptos" w:hAnsi="Aptos" w:cs="Aptos"/>
        </w:rPr>
        <w:t>loads</w:t>
      </w:r>
      <w:r w:rsidR="586C5B18" w:rsidRPr="46E4C52F">
        <w:rPr>
          <w:rFonts w:ascii="Aptos" w:eastAsia="Aptos" w:hAnsi="Aptos" w:cs="Aptos"/>
        </w:rPr>
        <w:t>)</w:t>
      </w:r>
      <w:r w:rsidR="4F586CD0" w:rsidRPr="46E4C52F">
        <w:rPr>
          <w:rFonts w:ascii="Aptos" w:eastAsia="Aptos" w:hAnsi="Aptos" w:cs="Aptos"/>
        </w:rPr>
        <w:t>,</w:t>
      </w:r>
      <w:r w:rsidR="4F586CD0" w:rsidRPr="0B1F517D">
        <w:rPr>
          <w:rFonts w:ascii="Aptos" w:eastAsia="Aptos" w:hAnsi="Aptos" w:cs="Aptos"/>
        </w:rPr>
        <w:t xml:space="preserve"> </w:t>
      </w:r>
      <w:r w:rsidR="007511D2">
        <w:rPr>
          <w:rFonts w:ascii="Aptos" w:eastAsia="Aptos" w:hAnsi="Aptos" w:cs="Aptos"/>
        </w:rPr>
        <w:t xml:space="preserve">is not suitable </w:t>
      </w:r>
      <w:r w:rsidR="00F7253A">
        <w:rPr>
          <w:rFonts w:ascii="Aptos" w:eastAsia="Aptos" w:hAnsi="Aptos" w:cs="Aptos"/>
        </w:rPr>
        <w:t>for transmission allocation</w:t>
      </w:r>
      <w:r w:rsidRPr="0AEC51B5">
        <w:rPr>
          <w:rFonts w:ascii="Aptos" w:eastAsia="Aptos" w:hAnsi="Aptos" w:cs="Aptos"/>
        </w:rPr>
        <w:t xml:space="preserve">.  </w:t>
      </w:r>
      <w:r w:rsidRPr="21BE3BB7">
        <w:rPr>
          <w:rFonts w:ascii="Aptos" w:eastAsia="Aptos" w:hAnsi="Aptos" w:cs="Aptos"/>
          <w:b/>
        </w:rPr>
        <w:t>Therefore, to</w:t>
      </w:r>
      <w:r w:rsidR="006A5BBA" w:rsidRPr="21BE3BB7">
        <w:rPr>
          <w:b/>
        </w:rPr>
        <w:t xml:space="preserve"> </w:t>
      </w:r>
      <w:r w:rsidR="008E2C6D" w:rsidRPr="21BE3BB7">
        <w:rPr>
          <w:b/>
        </w:rPr>
        <w:t xml:space="preserve">avoid misalignment between </w:t>
      </w:r>
      <w:r w:rsidR="009630E3">
        <w:rPr>
          <w:b/>
        </w:rPr>
        <w:t xml:space="preserve">the </w:t>
      </w:r>
      <w:r w:rsidR="00322244">
        <w:rPr>
          <w:b/>
        </w:rPr>
        <w:t xml:space="preserve">transmission </w:t>
      </w:r>
      <w:r w:rsidR="008E2C6D" w:rsidRPr="21BE3BB7">
        <w:rPr>
          <w:b/>
        </w:rPr>
        <w:t xml:space="preserve">allocation method and </w:t>
      </w:r>
      <w:r w:rsidR="08E60F7A" w:rsidRPr="45531224">
        <w:rPr>
          <w:b/>
          <w:bCs/>
        </w:rPr>
        <w:t>the potential</w:t>
      </w:r>
      <w:r w:rsidR="08E60F7A" w:rsidRPr="48434D10">
        <w:rPr>
          <w:b/>
          <w:bCs/>
        </w:rPr>
        <w:t xml:space="preserve"> </w:t>
      </w:r>
      <w:r w:rsidR="008E2C6D" w:rsidRPr="21BE3BB7">
        <w:rPr>
          <w:b/>
        </w:rPr>
        <w:t xml:space="preserve">drivers </w:t>
      </w:r>
      <w:r w:rsidR="00471C94">
        <w:rPr>
          <w:b/>
        </w:rPr>
        <w:t xml:space="preserve">of generation </w:t>
      </w:r>
      <w:r w:rsidR="00F4508C">
        <w:rPr>
          <w:b/>
        </w:rPr>
        <w:t xml:space="preserve">costs </w:t>
      </w:r>
      <w:r w:rsidR="008E2C6D" w:rsidRPr="21BE3BB7">
        <w:rPr>
          <w:b/>
        </w:rPr>
        <w:t xml:space="preserve">going </w:t>
      </w:r>
      <w:r w:rsidR="007511D2">
        <w:rPr>
          <w:b/>
        </w:rPr>
        <w:t>in the future</w:t>
      </w:r>
      <w:r w:rsidR="008E2C6D" w:rsidRPr="21BE3BB7">
        <w:rPr>
          <w:b/>
        </w:rPr>
        <w:t xml:space="preserve">, PNM </w:t>
      </w:r>
      <w:r w:rsidR="007511D2">
        <w:rPr>
          <w:b/>
        </w:rPr>
        <w:t xml:space="preserve">plans to </w:t>
      </w:r>
      <w:r w:rsidR="008E2C6D" w:rsidRPr="21BE3BB7">
        <w:rPr>
          <w:b/>
        </w:rPr>
        <w:t xml:space="preserve">propose </w:t>
      </w:r>
      <w:r w:rsidR="7E4FFC3F" w:rsidRPr="21BE3BB7">
        <w:rPr>
          <w:b/>
        </w:rPr>
        <w:t xml:space="preserve">separate </w:t>
      </w:r>
      <w:r w:rsidR="007511D2">
        <w:rPr>
          <w:b/>
        </w:rPr>
        <w:t xml:space="preserve">distinct </w:t>
      </w:r>
      <w:r w:rsidR="7E4FFC3F" w:rsidRPr="21BE3BB7">
        <w:rPr>
          <w:b/>
        </w:rPr>
        <w:t xml:space="preserve">and </w:t>
      </w:r>
      <w:r w:rsidR="008E2C6D" w:rsidRPr="21BE3BB7">
        <w:rPr>
          <w:b/>
        </w:rPr>
        <w:t xml:space="preserve">specific methods to allocate both transmission and </w:t>
      </w:r>
      <w:r w:rsidR="002042C4">
        <w:rPr>
          <w:b/>
        </w:rPr>
        <w:t>generation</w:t>
      </w:r>
      <w:r w:rsidR="002042C4" w:rsidRPr="21BE3BB7">
        <w:rPr>
          <w:b/>
        </w:rPr>
        <w:t xml:space="preserve"> </w:t>
      </w:r>
      <w:r w:rsidR="7F0A59C3" w:rsidRPr="21BE3BB7">
        <w:rPr>
          <w:b/>
        </w:rPr>
        <w:t>related revenue requirements</w:t>
      </w:r>
      <w:r w:rsidR="008E2C6D" w:rsidRPr="21BE3BB7">
        <w:rPr>
          <w:b/>
        </w:rPr>
        <w:t>.</w:t>
      </w:r>
      <w:r w:rsidR="26D58BAD" w:rsidRPr="21BE3BB7">
        <w:rPr>
          <w:b/>
        </w:rPr>
        <w:t xml:space="preserve"> PNM </w:t>
      </w:r>
      <w:r w:rsidR="007511D2">
        <w:rPr>
          <w:b/>
        </w:rPr>
        <w:t>recommends</w:t>
      </w:r>
      <w:r w:rsidR="007511D2" w:rsidRPr="21BE3BB7">
        <w:rPr>
          <w:b/>
        </w:rPr>
        <w:t xml:space="preserve"> </w:t>
      </w:r>
      <w:r w:rsidR="007511D2">
        <w:rPr>
          <w:b/>
        </w:rPr>
        <w:t xml:space="preserve">the </w:t>
      </w:r>
      <w:r w:rsidR="26D58BAD" w:rsidRPr="21BE3BB7">
        <w:rPr>
          <w:b/>
        </w:rPr>
        <w:t xml:space="preserve">12CP allocation method for </w:t>
      </w:r>
      <w:r w:rsidR="0033099D">
        <w:rPr>
          <w:b/>
        </w:rPr>
        <w:t>t</w:t>
      </w:r>
      <w:r w:rsidR="26D58BAD" w:rsidRPr="21BE3BB7">
        <w:rPr>
          <w:b/>
        </w:rPr>
        <w:t>ransmission-related revenue requirements</w:t>
      </w:r>
      <w:r w:rsidR="26D58BAD">
        <w:t>.</w:t>
      </w:r>
    </w:p>
    <w:p w14:paraId="46931BC3" w14:textId="77777777" w:rsidR="002260A8" w:rsidRDefault="002260A8" w:rsidP="49B37432">
      <w:pPr>
        <w:pStyle w:val="Heading2"/>
      </w:pPr>
    </w:p>
    <w:p w14:paraId="054EF170" w14:textId="5FBF3CFA" w:rsidR="0006347D" w:rsidRDefault="0006347D" w:rsidP="49B37432">
      <w:pPr>
        <w:pStyle w:val="Heading2"/>
      </w:pPr>
      <w:r>
        <w:t>Rationale</w:t>
      </w:r>
    </w:p>
    <w:p w14:paraId="0BC3E8B2" w14:textId="18BB7AEB" w:rsidR="3AB2DA05" w:rsidRDefault="00847C11" w:rsidP="002260A8">
      <w:pPr>
        <w:pStyle w:val="Heading2"/>
        <w:numPr>
          <w:ilvl w:val="0"/>
          <w:numId w:val="1"/>
        </w:numPr>
      </w:pPr>
      <w:r>
        <w:t xml:space="preserve">Consistency between </w:t>
      </w:r>
      <w:r w:rsidR="007C1D22">
        <w:t xml:space="preserve">the </w:t>
      </w:r>
      <w:r w:rsidR="3AB2DA05">
        <w:t>allocat</w:t>
      </w:r>
      <w:r>
        <w:t xml:space="preserve">ion of </w:t>
      </w:r>
      <w:r w:rsidR="007C1D22">
        <w:t xml:space="preserve">Transmission and </w:t>
      </w:r>
      <w:r w:rsidR="3AB2DA05">
        <w:t xml:space="preserve">Retail and FERC Wholesale jurisdictions </w:t>
      </w:r>
    </w:p>
    <w:p w14:paraId="68218626" w14:textId="065ADA03" w:rsidR="3AB2DA05" w:rsidRDefault="3AB2DA05">
      <w:r>
        <w:t xml:space="preserve">PNM utilizes a 12CP allocation method to allocate transmission costs between Retail and FERC jurisdictions customers.  </w:t>
      </w:r>
      <w:r w:rsidR="0033099D">
        <w:t>L</w:t>
      </w:r>
      <w:r>
        <w:t xml:space="preserve">ess than 50% of the total transmission </w:t>
      </w:r>
      <w:r w:rsidR="00C2656B">
        <w:t>related revenue requirements</w:t>
      </w:r>
      <w:r>
        <w:t xml:space="preserve"> </w:t>
      </w:r>
      <w:r w:rsidR="0033099D">
        <w:t xml:space="preserve">are allocated to Retail, </w:t>
      </w:r>
      <w:r w:rsidR="0033099D" w:rsidRPr="0033099D">
        <w:t xml:space="preserve">since a significant </w:t>
      </w:r>
      <w:r>
        <w:t>portion of PNM transmission system demand is driven by FERC wholesale transmission customers (i.e., point-to-point and network service customers).</w:t>
      </w:r>
      <w:r w:rsidR="004716B9">
        <w:t xml:space="preserve">  </w:t>
      </w:r>
      <w:r w:rsidR="004716B9" w:rsidRPr="004716B9">
        <w:t xml:space="preserve">The 12CP method </w:t>
      </w:r>
      <w:r w:rsidR="0033099D" w:rsidRPr="0033099D">
        <w:t>more accurately</w:t>
      </w:r>
      <w:r w:rsidR="007511D2">
        <w:t xml:space="preserve"> </w:t>
      </w:r>
      <w:r w:rsidR="004716B9" w:rsidRPr="004716B9">
        <w:t>reflects the usage pattern and demand on the transmission system throughout the year</w:t>
      </w:r>
      <w:r w:rsidR="00D00CFC">
        <w:t>.</w:t>
      </w:r>
      <w:r w:rsidR="0033099D">
        <w:t xml:space="preserve"> By</w:t>
      </w:r>
      <w:r w:rsidR="004716B9" w:rsidRPr="004716B9">
        <w:t xml:space="preserve"> smoothing out monthly or seasonal fluctuations</w:t>
      </w:r>
      <w:r w:rsidR="0033099D">
        <w:t xml:space="preserve">, it ensures </w:t>
      </w:r>
      <w:r w:rsidR="004716B9" w:rsidRPr="004716B9">
        <w:t>a more balanced and stable cost allocation method for transmission services.</w:t>
      </w:r>
    </w:p>
    <w:p w14:paraId="57E5FACE" w14:textId="3AC7E17D" w:rsidR="50A8FBD0" w:rsidRDefault="50A8FBD0" w:rsidP="50A8FBD0"/>
    <w:p w14:paraId="19D1DAA3" w14:textId="0A041BD6" w:rsidR="00C53B32" w:rsidRDefault="002A3D7C" w:rsidP="00841524">
      <w:pPr>
        <w:pStyle w:val="Heading2"/>
        <w:numPr>
          <w:ilvl w:val="0"/>
          <w:numId w:val="1"/>
        </w:numPr>
      </w:pPr>
      <w:r>
        <w:t xml:space="preserve">Difference between Generation and </w:t>
      </w:r>
      <w:r w:rsidR="00C53B32">
        <w:t>Transmission Planning</w:t>
      </w:r>
    </w:p>
    <w:p w14:paraId="6FF1C3E8" w14:textId="666A5292" w:rsidR="00D00CFC" w:rsidRDefault="00123B1A" w:rsidP="00123B1A">
      <w:r>
        <w:t xml:space="preserve">PNM conducts </w:t>
      </w:r>
      <w:r w:rsidR="0051CBBC">
        <w:t>t</w:t>
      </w:r>
      <w:r w:rsidR="21FD3B2A">
        <w:t xml:space="preserve">ransmission planning </w:t>
      </w:r>
      <w:r w:rsidR="0051CBBC">
        <w:t>studies</w:t>
      </w:r>
      <w:r>
        <w:t xml:space="preserve"> annually to ensure compliance with North American Electric Reliability Corporation (NERC), Western Electricity Coordinating Council (WECC), and local reliability standards for </w:t>
      </w:r>
      <w:r w:rsidR="00D00CFC">
        <w:t>a</w:t>
      </w:r>
      <w:r>
        <w:t xml:space="preserve"> ten-year planning horizon, considering planned loads and resources. These reliability studies are coordinated with other regional transmission planning organizations.</w:t>
      </w:r>
      <w:r w:rsidR="71718A33">
        <w:t xml:space="preserve"> </w:t>
      </w:r>
    </w:p>
    <w:p w14:paraId="2CF4B3B9" w14:textId="02076C87" w:rsidR="00D00CFC" w:rsidRDefault="00123B1A" w:rsidP="00123B1A">
      <w:r>
        <w:t xml:space="preserve">The </w:t>
      </w:r>
      <w:r w:rsidR="002042C4">
        <w:t xml:space="preserve">transmission </w:t>
      </w:r>
      <w:r>
        <w:t xml:space="preserve">planning assessments </w:t>
      </w:r>
      <w:r w:rsidR="00D00CFC">
        <w:t>evaluate a range of</w:t>
      </w:r>
      <w:r>
        <w:t xml:space="preserve"> scenarios, including peak, net peak, and off-peak load conditions. Additionally, assessments are performed for conditions that would maximize import (minimal load-side resources) and export (high renewables such as solar and wind with minimal load) on the PNM transmission system.</w:t>
      </w:r>
      <w:r w:rsidR="006A1685">
        <w:t xml:space="preserve"> </w:t>
      </w:r>
    </w:p>
    <w:p w14:paraId="58457456" w14:textId="48354E86" w:rsidR="00A169F6" w:rsidRDefault="00F71D8C" w:rsidP="00764F4C">
      <w:r>
        <w:t xml:space="preserve">In contrast to transmission planning, </w:t>
      </w:r>
      <w:r w:rsidR="54F0B1F5">
        <w:t>the</w:t>
      </w:r>
      <w:r w:rsidR="57084EB0">
        <w:t xml:space="preserve"> generation</w:t>
      </w:r>
      <w:r w:rsidR="20699C23">
        <w:t xml:space="preserve"> resource</w:t>
      </w:r>
      <w:r w:rsidR="57084EB0">
        <w:t xml:space="preserve"> </w:t>
      </w:r>
      <w:r w:rsidR="14907887">
        <w:t xml:space="preserve">planning </w:t>
      </w:r>
      <w:r w:rsidR="75442A85">
        <w:t>is</w:t>
      </w:r>
      <w:r w:rsidR="57084EB0">
        <w:t xml:space="preserve"> driven by PNM’s projected highest reliability loss-of-load-event (“LOLE”) hours throughout the </w:t>
      </w:r>
      <w:r w:rsidR="002042C4">
        <w:t xml:space="preserve">planning </w:t>
      </w:r>
      <w:r w:rsidR="57084EB0">
        <w:t>year</w:t>
      </w:r>
      <w:r w:rsidR="002042C4">
        <w:t>(s)</w:t>
      </w:r>
      <w:r w:rsidR="57084EB0">
        <w:t>.  As PNM’s load requirements and portfolio changes over time, PNM plans to add the best mix of resources to meet the industry standard 1-day-in-10 LOLE reliability planning requirement.</w:t>
      </w:r>
      <w:r w:rsidR="0EC0FC82">
        <w:t xml:space="preserve"> Thus, the planning </w:t>
      </w:r>
      <w:r w:rsidR="666B118E">
        <w:t>objectives</w:t>
      </w:r>
      <w:r w:rsidR="0EC0FC82">
        <w:t xml:space="preserve"> for both functions do not necessarily align with each other.</w:t>
      </w:r>
    </w:p>
    <w:sectPr w:rsidR="00A16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610B"/>
    <w:multiLevelType w:val="hybridMultilevel"/>
    <w:tmpl w:val="1E6C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79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E7"/>
    <w:rsid w:val="0001510E"/>
    <w:rsid w:val="00023103"/>
    <w:rsid w:val="000358DA"/>
    <w:rsid w:val="0006347D"/>
    <w:rsid w:val="00064313"/>
    <w:rsid w:val="000669BF"/>
    <w:rsid w:val="00067825"/>
    <w:rsid w:val="000833AC"/>
    <w:rsid w:val="00097439"/>
    <w:rsid w:val="000A559B"/>
    <w:rsid w:val="000A7240"/>
    <w:rsid w:val="000B2CE7"/>
    <w:rsid w:val="000B797E"/>
    <w:rsid w:val="000C0E1D"/>
    <w:rsid w:val="000F2D35"/>
    <w:rsid w:val="000F7205"/>
    <w:rsid w:val="00102005"/>
    <w:rsid w:val="00123B1A"/>
    <w:rsid w:val="00126ED0"/>
    <w:rsid w:val="0014264E"/>
    <w:rsid w:val="00146C94"/>
    <w:rsid w:val="00152787"/>
    <w:rsid w:val="00182743"/>
    <w:rsid w:val="00193A82"/>
    <w:rsid w:val="001A407B"/>
    <w:rsid w:val="001C4A74"/>
    <w:rsid w:val="001E5829"/>
    <w:rsid w:val="001EF878"/>
    <w:rsid w:val="00200B15"/>
    <w:rsid w:val="002042C4"/>
    <w:rsid w:val="00204380"/>
    <w:rsid w:val="00210AF2"/>
    <w:rsid w:val="00212835"/>
    <w:rsid w:val="0022097E"/>
    <w:rsid w:val="002226A6"/>
    <w:rsid w:val="002260A8"/>
    <w:rsid w:val="002319D7"/>
    <w:rsid w:val="002371CF"/>
    <w:rsid w:val="0024326D"/>
    <w:rsid w:val="00243D21"/>
    <w:rsid w:val="002608E5"/>
    <w:rsid w:val="00284983"/>
    <w:rsid w:val="002850AF"/>
    <w:rsid w:val="00296715"/>
    <w:rsid w:val="002A3D7C"/>
    <w:rsid w:val="002C7130"/>
    <w:rsid w:val="002C7EA0"/>
    <w:rsid w:val="002D5353"/>
    <w:rsid w:val="002D571B"/>
    <w:rsid w:val="002E4B18"/>
    <w:rsid w:val="002F1DEF"/>
    <w:rsid w:val="002F33A1"/>
    <w:rsid w:val="0031725F"/>
    <w:rsid w:val="00322244"/>
    <w:rsid w:val="00326BC2"/>
    <w:rsid w:val="0033099D"/>
    <w:rsid w:val="00342DC7"/>
    <w:rsid w:val="00357E5C"/>
    <w:rsid w:val="00367B48"/>
    <w:rsid w:val="0037091F"/>
    <w:rsid w:val="003816DD"/>
    <w:rsid w:val="003B74EE"/>
    <w:rsid w:val="003C0BBC"/>
    <w:rsid w:val="003C6204"/>
    <w:rsid w:val="003D11D9"/>
    <w:rsid w:val="003D1F34"/>
    <w:rsid w:val="003D2CFB"/>
    <w:rsid w:val="003D533F"/>
    <w:rsid w:val="003F7957"/>
    <w:rsid w:val="003FBEDD"/>
    <w:rsid w:val="0040430F"/>
    <w:rsid w:val="0041603D"/>
    <w:rsid w:val="004325DC"/>
    <w:rsid w:val="00435927"/>
    <w:rsid w:val="00445AB0"/>
    <w:rsid w:val="00450878"/>
    <w:rsid w:val="00452D39"/>
    <w:rsid w:val="00462F8F"/>
    <w:rsid w:val="00470647"/>
    <w:rsid w:val="004716B9"/>
    <w:rsid w:val="004718EF"/>
    <w:rsid w:val="00471C94"/>
    <w:rsid w:val="0047256D"/>
    <w:rsid w:val="00476691"/>
    <w:rsid w:val="004828D8"/>
    <w:rsid w:val="00484A51"/>
    <w:rsid w:val="00485917"/>
    <w:rsid w:val="00494F95"/>
    <w:rsid w:val="004A426A"/>
    <w:rsid w:val="004A42F7"/>
    <w:rsid w:val="004A6B28"/>
    <w:rsid w:val="004A7904"/>
    <w:rsid w:val="004B1FBA"/>
    <w:rsid w:val="004B7164"/>
    <w:rsid w:val="004D0783"/>
    <w:rsid w:val="004D49B2"/>
    <w:rsid w:val="004E35ED"/>
    <w:rsid w:val="00504301"/>
    <w:rsid w:val="00516398"/>
    <w:rsid w:val="0051CBBC"/>
    <w:rsid w:val="0052494C"/>
    <w:rsid w:val="00542320"/>
    <w:rsid w:val="00542BB8"/>
    <w:rsid w:val="0055267E"/>
    <w:rsid w:val="00555E08"/>
    <w:rsid w:val="00560324"/>
    <w:rsid w:val="00560B2E"/>
    <w:rsid w:val="00561D1D"/>
    <w:rsid w:val="00566A52"/>
    <w:rsid w:val="0057236D"/>
    <w:rsid w:val="00583C55"/>
    <w:rsid w:val="00592B5A"/>
    <w:rsid w:val="00595C54"/>
    <w:rsid w:val="005A34AB"/>
    <w:rsid w:val="005B2A1A"/>
    <w:rsid w:val="005C5A4B"/>
    <w:rsid w:val="005C6EE9"/>
    <w:rsid w:val="005D571F"/>
    <w:rsid w:val="005E0019"/>
    <w:rsid w:val="005E5069"/>
    <w:rsid w:val="005F08F7"/>
    <w:rsid w:val="005F150A"/>
    <w:rsid w:val="005F1D01"/>
    <w:rsid w:val="005F2AFF"/>
    <w:rsid w:val="00602C79"/>
    <w:rsid w:val="006351E7"/>
    <w:rsid w:val="006515A9"/>
    <w:rsid w:val="00653BBA"/>
    <w:rsid w:val="00670FB3"/>
    <w:rsid w:val="00681322"/>
    <w:rsid w:val="00685A57"/>
    <w:rsid w:val="00692299"/>
    <w:rsid w:val="0069527D"/>
    <w:rsid w:val="006A1685"/>
    <w:rsid w:val="006A5BBA"/>
    <w:rsid w:val="006B31D8"/>
    <w:rsid w:val="006D44AE"/>
    <w:rsid w:val="006D5A40"/>
    <w:rsid w:val="006E37D3"/>
    <w:rsid w:val="00701AE7"/>
    <w:rsid w:val="00704150"/>
    <w:rsid w:val="007079F8"/>
    <w:rsid w:val="00716B05"/>
    <w:rsid w:val="007222A4"/>
    <w:rsid w:val="00732602"/>
    <w:rsid w:val="00735675"/>
    <w:rsid w:val="007511D2"/>
    <w:rsid w:val="007607EB"/>
    <w:rsid w:val="00764F4C"/>
    <w:rsid w:val="00765A75"/>
    <w:rsid w:val="0078363A"/>
    <w:rsid w:val="00784D37"/>
    <w:rsid w:val="00785F29"/>
    <w:rsid w:val="007A5D91"/>
    <w:rsid w:val="007A74F4"/>
    <w:rsid w:val="007B7305"/>
    <w:rsid w:val="007C1D22"/>
    <w:rsid w:val="007C695A"/>
    <w:rsid w:val="007C796C"/>
    <w:rsid w:val="007E6C79"/>
    <w:rsid w:val="007E72D5"/>
    <w:rsid w:val="007F41F4"/>
    <w:rsid w:val="0080006E"/>
    <w:rsid w:val="008041B3"/>
    <w:rsid w:val="00821B14"/>
    <w:rsid w:val="00841524"/>
    <w:rsid w:val="008470FF"/>
    <w:rsid w:val="00847C11"/>
    <w:rsid w:val="008501FF"/>
    <w:rsid w:val="008558B2"/>
    <w:rsid w:val="00863FA1"/>
    <w:rsid w:val="00871914"/>
    <w:rsid w:val="00871E0C"/>
    <w:rsid w:val="00873E1A"/>
    <w:rsid w:val="008B4163"/>
    <w:rsid w:val="008C34EA"/>
    <w:rsid w:val="008D714D"/>
    <w:rsid w:val="008E2C6D"/>
    <w:rsid w:val="008F2364"/>
    <w:rsid w:val="00901229"/>
    <w:rsid w:val="00916336"/>
    <w:rsid w:val="009201FE"/>
    <w:rsid w:val="00923292"/>
    <w:rsid w:val="00956B50"/>
    <w:rsid w:val="009630E3"/>
    <w:rsid w:val="009746CA"/>
    <w:rsid w:val="00977AC9"/>
    <w:rsid w:val="009809BD"/>
    <w:rsid w:val="00991385"/>
    <w:rsid w:val="00991E59"/>
    <w:rsid w:val="009A5E99"/>
    <w:rsid w:val="009C06C5"/>
    <w:rsid w:val="009C4D0F"/>
    <w:rsid w:val="009D68F3"/>
    <w:rsid w:val="00A028F8"/>
    <w:rsid w:val="00A045CF"/>
    <w:rsid w:val="00A169F6"/>
    <w:rsid w:val="00A21CDF"/>
    <w:rsid w:val="00A6432C"/>
    <w:rsid w:val="00A6707C"/>
    <w:rsid w:val="00A67EC2"/>
    <w:rsid w:val="00AA4C31"/>
    <w:rsid w:val="00AE134C"/>
    <w:rsid w:val="00AE4F27"/>
    <w:rsid w:val="00B014E4"/>
    <w:rsid w:val="00B131D1"/>
    <w:rsid w:val="00B14C19"/>
    <w:rsid w:val="00B34131"/>
    <w:rsid w:val="00B447B1"/>
    <w:rsid w:val="00B44AEC"/>
    <w:rsid w:val="00B460DA"/>
    <w:rsid w:val="00B47689"/>
    <w:rsid w:val="00B72597"/>
    <w:rsid w:val="00B91F4F"/>
    <w:rsid w:val="00B95CA7"/>
    <w:rsid w:val="00BD58EB"/>
    <w:rsid w:val="00BF7082"/>
    <w:rsid w:val="00C01810"/>
    <w:rsid w:val="00C05DB4"/>
    <w:rsid w:val="00C14399"/>
    <w:rsid w:val="00C15478"/>
    <w:rsid w:val="00C20FFD"/>
    <w:rsid w:val="00C2656B"/>
    <w:rsid w:val="00C32F57"/>
    <w:rsid w:val="00C403C1"/>
    <w:rsid w:val="00C41762"/>
    <w:rsid w:val="00C44D37"/>
    <w:rsid w:val="00C53B32"/>
    <w:rsid w:val="00C57D6A"/>
    <w:rsid w:val="00C74EC7"/>
    <w:rsid w:val="00C77CFD"/>
    <w:rsid w:val="00C84A44"/>
    <w:rsid w:val="00CB2BFE"/>
    <w:rsid w:val="00CB6CCC"/>
    <w:rsid w:val="00CF45ED"/>
    <w:rsid w:val="00CF7D1D"/>
    <w:rsid w:val="00D00CFC"/>
    <w:rsid w:val="00D06A03"/>
    <w:rsid w:val="00D076D2"/>
    <w:rsid w:val="00D63BA0"/>
    <w:rsid w:val="00D75DBD"/>
    <w:rsid w:val="00D81D1E"/>
    <w:rsid w:val="00D93ABF"/>
    <w:rsid w:val="00DB21BB"/>
    <w:rsid w:val="00DC5284"/>
    <w:rsid w:val="00DC5EE9"/>
    <w:rsid w:val="00DD73CB"/>
    <w:rsid w:val="00DE2B05"/>
    <w:rsid w:val="00E02620"/>
    <w:rsid w:val="00E33FD5"/>
    <w:rsid w:val="00E406F2"/>
    <w:rsid w:val="00E56EA2"/>
    <w:rsid w:val="00E8078C"/>
    <w:rsid w:val="00E82BF2"/>
    <w:rsid w:val="00EB26A0"/>
    <w:rsid w:val="00EB5B16"/>
    <w:rsid w:val="00EC4766"/>
    <w:rsid w:val="00ED176B"/>
    <w:rsid w:val="00EE60BD"/>
    <w:rsid w:val="00EF5343"/>
    <w:rsid w:val="00EF7457"/>
    <w:rsid w:val="00F165BB"/>
    <w:rsid w:val="00F35735"/>
    <w:rsid w:val="00F427DC"/>
    <w:rsid w:val="00F4508C"/>
    <w:rsid w:val="00F5411B"/>
    <w:rsid w:val="00F54C87"/>
    <w:rsid w:val="00F567F4"/>
    <w:rsid w:val="00F64D08"/>
    <w:rsid w:val="00F7113B"/>
    <w:rsid w:val="00F71D8C"/>
    <w:rsid w:val="00F7253A"/>
    <w:rsid w:val="00F74E8A"/>
    <w:rsid w:val="00F77E36"/>
    <w:rsid w:val="00F82543"/>
    <w:rsid w:val="00F82723"/>
    <w:rsid w:val="00F961CA"/>
    <w:rsid w:val="00FA0A65"/>
    <w:rsid w:val="00FB1F1B"/>
    <w:rsid w:val="00FC279A"/>
    <w:rsid w:val="00FC40F7"/>
    <w:rsid w:val="00FC7A69"/>
    <w:rsid w:val="00FE271B"/>
    <w:rsid w:val="00FE34C0"/>
    <w:rsid w:val="00FF3599"/>
    <w:rsid w:val="03DC8AE8"/>
    <w:rsid w:val="0639D6F8"/>
    <w:rsid w:val="076D7B7B"/>
    <w:rsid w:val="07C85F1F"/>
    <w:rsid w:val="08E60F7A"/>
    <w:rsid w:val="098D8978"/>
    <w:rsid w:val="0A62DC2D"/>
    <w:rsid w:val="0AA39415"/>
    <w:rsid w:val="0AEC51B5"/>
    <w:rsid w:val="0B19077B"/>
    <w:rsid w:val="0B1F517D"/>
    <w:rsid w:val="0CC8D881"/>
    <w:rsid w:val="0CF23F0E"/>
    <w:rsid w:val="0EC0FC82"/>
    <w:rsid w:val="0F17778A"/>
    <w:rsid w:val="0F788378"/>
    <w:rsid w:val="0F7A7E34"/>
    <w:rsid w:val="10AEF99F"/>
    <w:rsid w:val="1218BE86"/>
    <w:rsid w:val="1278C106"/>
    <w:rsid w:val="137D62D0"/>
    <w:rsid w:val="14907887"/>
    <w:rsid w:val="15B66692"/>
    <w:rsid w:val="1611FB42"/>
    <w:rsid w:val="172DBC48"/>
    <w:rsid w:val="1817EDE2"/>
    <w:rsid w:val="19A860DA"/>
    <w:rsid w:val="1A652104"/>
    <w:rsid w:val="1AE9E9C9"/>
    <w:rsid w:val="1BDE46EF"/>
    <w:rsid w:val="1C073FCB"/>
    <w:rsid w:val="1CDB0B55"/>
    <w:rsid w:val="1D1BE34C"/>
    <w:rsid w:val="1FD2D198"/>
    <w:rsid w:val="20699C23"/>
    <w:rsid w:val="20B55D34"/>
    <w:rsid w:val="21BE3BB7"/>
    <w:rsid w:val="21FD3B2A"/>
    <w:rsid w:val="22BFD1E0"/>
    <w:rsid w:val="2313059E"/>
    <w:rsid w:val="2370F0DA"/>
    <w:rsid w:val="246F3B76"/>
    <w:rsid w:val="24B6F1BB"/>
    <w:rsid w:val="267A9367"/>
    <w:rsid w:val="269710D7"/>
    <w:rsid w:val="26D58BAD"/>
    <w:rsid w:val="277F0D94"/>
    <w:rsid w:val="2948CF4F"/>
    <w:rsid w:val="299E1BAD"/>
    <w:rsid w:val="2A42B080"/>
    <w:rsid w:val="2B6D073E"/>
    <w:rsid w:val="2D571AF2"/>
    <w:rsid w:val="2E6AC870"/>
    <w:rsid w:val="2F1D181A"/>
    <w:rsid w:val="2FC699AA"/>
    <w:rsid w:val="321CCD15"/>
    <w:rsid w:val="326C9B9F"/>
    <w:rsid w:val="3335268A"/>
    <w:rsid w:val="33BE3CE8"/>
    <w:rsid w:val="34346F91"/>
    <w:rsid w:val="35D4DAA1"/>
    <w:rsid w:val="36CDF8FF"/>
    <w:rsid w:val="3A456641"/>
    <w:rsid w:val="3AB2DA05"/>
    <w:rsid w:val="3AFB7E2E"/>
    <w:rsid w:val="3B9F1D59"/>
    <w:rsid w:val="3C18F116"/>
    <w:rsid w:val="3C6965E0"/>
    <w:rsid w:val="3CBFA3A7"/>
    <w:rsid w:val="3D22CB9E"/>
    <w:rsid w:val="3EB3884B"/>
    <w:rsid w:val="3EF82615"/>
    <w:rsid w:val="4314C91A"/>
    <w:rsid w:val="4370858D"/>
    <w:rsid w:val="446ADCCE"/>
    <w:rsid w:val="44C313F1"/>
    <w:rsid w:val="45531224"/>
    <w:rsid w:val="461E6387"/>
    <w:rsid w:val="462505A8"/>
    <w:rsid w:val="46DCCCFF"/>
    <w:rsid w:val="46E4C52F"/>
    <w:rsid w:val="48280E0D"/>
    <w:rsid w:val="48434D10"/>
    <w:rsid w:val="49B37432"/>
    <w:rsid w:val="4AC16990"/>
    <w:rsid w:val="4BC3BC13"/>
    <w:rsid w:val="4BE360DA"/>
    <w:rsid w:val="4BEB1FA9"/>
    <w:rsid w:val="4CD4B0E4"/>
    <w:rsid w:val="4CFF39C2"/>
    <w:rsid w:val="4DE29545"/>
    <w:rsid w:val="4F586CD0"/>
    <w:rsid w:val="4FD3CC16"/>
    <w:rsid w:val="50A8FBD0"/>
    <w:rsid w:val="50CB5817"/>
    <w:rsid w:val="523C8F42"/>
    <w:rsid w:val="54F0B1F5"/>
    <w:rsid w:val="5699CF33"/>
    <w:rsid w:val="57084EB0"/>
    <w:rsid w:val="57BB54FD"/>
    <w:rsid w:val="5842183D"/>
    <w:rsid w:val="586C5B18"/>
    <w:rsid w:val="59F944D2"/>
    <w:rsid w:val="5AE2597E"/>
    <w:rsid w:val="5B0E44B1"/>
    <w:rsid w:val="5E88BDF3"/>
    <w:rsid w:val="5E9CEA0D"/>
    <w:rsid w:val="61965E0F"/>
    <w:rsid w:val="62B0B35E"/>
    <w:rsid w:val="654EF2D6"/>
    <w:rsid w:val="6628424F"/>
    <w:rsid w:val="6633EA03"/>
    <w:rsid w:val="666B118E"/>
    <w:rsid w:val="67078064"/>
    <w:rsid w:val="6AE9FBDD"/>
    <w:rsid w:val="6B2D23DD"/>
    <w:rsid w:val="6C0313F5"/>
    <w:rsid w:val="6CA44CC3"/>
    <w:rsid w:val="715BCDE3"/>
    <w:rsid w:val="71718A33"/>
    <w:rsid w:val="72C34AFA"/>
    <w:rsid w:val="75442A85"/>
    <w:rsid w:val="788FEF18"/>
    <w:rsid w:val="7A4C4D5C"/>
    <w:rsid w:val="7A9BFAA0"/>
    <w:rsid w:val="7AD2B642"/>
    <w:rsid w:val="7AD2B6D3"/>
    <w:rsid w:val="7BA2B8D7"/>
    <w:rsid w:val="7C1A6CAD"/>
    <w:rsid w:val="7C2FB474"/>
    <w:rsid w:val="7C654EC0"/>
    <w:rsid w:val="7CB1EE22"/>
    <w:rsid w:val="7E3001AC"/>
    <w:rsid w:val="7E4FFC3F"/>
    <w:rsid w:val="7E8AE3E8"/>
    <w:rsid w:val="7E919175"/>
    <w:rsid w:val="7F0A59C3"/>
    <w:rsid w:val="7FF0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590C"/>
  <w15:chartTrackingRefBased/>
  <w15:docId w15:val="{9C38F3C1-EF05-441B-979A-F4A13EEF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1B3"/>
  </w:style>
  <w:style w:type="paragraph" w:styleId="Heading1">
    <w:name w:val="heading 1"/>
    <w:basedOn w:val="Normal"/>
    <w:next w:val="Normal"/>
    <w:link w:val="Heading1Char"/>
    <w:uiPriority w:val="9"/>
    <w:qFormat/>
    <w:rsid w:val="00635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35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1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1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1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1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1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1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1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1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1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1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1E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E2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C6D"/>
    <w:rPr>
      <w:sz w:val="20"/>
      <w:szCs w:val="20"/>
    </w:rPr>
  </w:style>
  <w:style w:type="paragraph" w:styleId="Revision">
    <w:name w:val="Revision"/>
    <w:hidden/>
    <w:uiPriority w:val="99"/>
    <w:semiHidden/>
    <w:rsid w:val="006A5BB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B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2977</Characters>
  <Application>Microsoft Office Word</Application>
  <DocSecurity>4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Settlage, Michael</cp:lastModifiedBy>
  <cp:revision>2</cp:revision>
  <dcterms:created xsi:type="dcterms:W3CDTF">2025-03-06T15:06:00Z</dcterms:created>
  <dcterms:modified xsi:type="dcterms:W3CDTF">2025-03-06T15:06:00Z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67428c-8df2-41b3-925f-2e32f93f53ed_Enabled">
    <vt:lpwstr>true</vt:lpwstr>
  </property>
  <property fmtid="{D5CDD505-2E9C-101B-9397-08002B2CF9AE}" pid="3" name="MSIP_Label_f367428c-8df2-41b3-925f-2e32f93f53ed_SetDate">
    <vt:lpwstr>2025-02-24T19:34:43Z</vt:lpwstr>
  </property>
  <property fmtid="{D5CDD505-2E9C-101B-9397-08002B2CF9AE}" pid="4" name="MSIP_Label_f367428c-8df2-41b3-925f-2e32f93f53ed_Method">
    <vt:lpwstr>Standard</vt:lpwstr>
  </property>
  <property fmtid="{D5CDD505-2E9C-101B-9397-08002B2CF9AE}" pid="5" name="MSIP_Label_f367428c-8df2-41b3-925f-2e32f93f53ed_Name">
    <vt:lpwstr>f367428c-8df2-41b3-925f-2e32f93f53ed</vt:lpwstr>
  </property>
  <property fmtid="{D5CDD505-2E9C-101B-9397-08002B2CF9AE}" pid="6" name="MSIP_Label_f367428c-8df2-41b3-925f-2e32f93f53ed_SiteId">
    <vt:lpwstr>6c1ea1fd-d5ee-4dc8-bcfe-8877bd40388b</vt:lpwstr>
  </property>
  <property fmtid="{D5CDD505-2E9C-101B-9397-08002B2CF9AE}" pid="7" name="MSIP_Label_f367428c-8df2-41b3-925f-2e32f93f53ed_ActionId">
    <vt:lpwstr>f6c32cc5-935a-4991-9534-e8a04d404f74</vt:lpwstr>
  </property>
  <property fmtid="{D5CDD505-2E9C-101B-9397-08002B2CF9AE}" pid="8" name="MSIP_Label_f367428c-8df2-41b3-925f-2e32f93f53ed_ContentBits">
    <vt:lpwstr>0</vt:lpwstr>
  </property>
</Properties>
</file>