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7ADAE" w14:textId="358B8036" w:rsidR="00324565" w:rsidRPr="00324565" w:rsidRDefault="00324565">
      <w:r>
        <w:rPr>
          <w:b/>
          <w:bCs/>
          <w:u w:val="single"/>
        </w:rPr>
        <w:t>PNM PRAC January 2026 Meeting</w:t>
      </w:r>
      <w:r>
        <w:rPr>
          <w:u w:val="single"/>
        </w:rPr>
        <w:br/>
      </w:r>
      <w:r>
        <w:t>January 20, 2026, 1:00PM to 3:00PM</w:t>
      </w:r>
      <w:r>
        <w:br/>
        <w:t>Online Meeting</w:t>
      </w:r>
    </w:p>
    <w:p w14:paraId="4A6CEDCE" w14:textId="1318ED2F" w:rsidR="006A410C" w:rsidRDefault="00324565">
      <w:r>
        <w:t xml:space="preserve">PNM Attendees: Julio Aguirre, Heidi Pitts, Abraham Casas, </w:t>
      </w:r>
      <w:r w:rsidR="00852A62">
        <w:t xml:space="preserve">Pablo Magallanes-Flores, Erica Baca, </w:t>
      </w:r>
      <w:r w:rsidR="00C22197">
        <w:t>Ian MacDougall</w:t>
      </w:r>
      <w:r>
        <w:t xml:space="preserve"> (MCR), Cindy Menhorn (MCR)</w:t>
      </w:r>
    </w:p>
    <w:p w14:paraId="31720F4E" w14:textId="6F35DDF3" w:rsidR="000E4D80" w:rsidRDefault="000E4D80">
      <w:r>
        <w:t>PRC Staff:</w:t>
      </w:r>
      <w:r w:rsidRPr="000E4D80">
        <w:t xml:space="preserve"> </w:t>
      </w:r>
      <w:r>
        <w:t>Elizabeth Acosta, Edison Jimenez</w:t>
      </w:r>
    </w:p>
    <w:p w14:paraId="57BED9DD" w14:textId="136370F7" w:rsidR="00C22197" w:rsidRDefault="00881146">
      <w:r>
        <w:t xml:space="preserve">REIA-NM: </w:t>
      </w:r>
      <w:r w:rsidR="00C22197">
        <w:t>Jim DesJardins</w:t>
      </w:r>
      <w:r>
        <w:t>, Randy Sadewic</w:t>
      </w:r>
      <w:r w:rsidR="00852A62">
        <w:t xml:space="preserve"> (Positive Solar)</w:t>
      </w:r>
    </w:p>
    <w:p w14:paraId="58875AF6" w14:textId="19C76FCE" w:rsidR="001B62EF" w:rsidRDefault="00DE37D5" w:rsidP="001B62EF">
      <w:r>
        <w:t xml:space="preserve">Other Attendees: </w:t>
      </w:r>
      <w:r w:rsidR="00C22197">
        <w:t xml:space="preserve">Jaime McGovern </w:t>
      </w:r>
      <w:r>
        <w:t>(</w:t>
      </w:r>
      <w:r w:rsidR="00C22197">
        <w:t>Walmart</w:t>
      </w:r>
      <w:r>
        <w:t xml:space="preserve">), </w:t>
      </w:r>
      <w:r w:rsidR="001B62EF">
        <w:t>Shawna Tillberg</w:t>
      </w:r>
    </w:p>
    <w:p w14:paraId="723BFEB3" w14:textId="1EADEBF8" w:rsidR="00C22197" w:rsidRDefault="00DD130D">
      <w:r>
        <w:rPr>
          <w:u w:val="single"/>
        </w:rPr>
        <w:t>Meeting Minutes</w:t>
      </w:r>
      <w:r>
        <w:br/>
      </w:r>
      <w:r w:rsidR="001B62EF">
        <w:t>Introduction (Julio Aguirre)</w:t>
      </w:r>
    </w:p>
    <w:p w14:paraId="5EF5C463" w14:textId="048BAF75" w:rsidR="00C22197" w:rsidRDefault="001B62EF" w:rsidP="00C22197">
      <w:pPr>
        <w:pStyle w:val="ListParagraph"/>
        <w:numPr>
          <w:ilvl w:val="0"/>
          <w:numId w:val="1"/>
        </w:numPr>
      </w:pPr>
      <w:r>
        <w:t>W</w:t>
      </w:r>
      <w:r w:rsidR="00C22197">
        <w:t xml:space="preserve">e will be going over the residential rate design proposals and the three areas on our roadmap to default TOD. We will be implementing a </w:t>
      </w:r>
      <w:r>
        <w:t>low-income</w:t>
      </w:r>
      <w:r w:rsidR="00C22197">
        <w:t xml:space="preserve"> subcommittee. We’ll be talking about changes to the existing TOD rate, current schedule 1A, and some ideas around net metering</w:t>
      </w:r>
      <w:r>
        <w:t>.</w:t>
      </w:r>
    </w:p>
    <w:p w14:paraId="0271D198" w14:textId="77D69379" w:rsidR="00C22197" w:rsidRDefault="00D80CBF" w:rsidP="00C22197">
      <w:r>
        <w:t>TOD Rates (Heidi Pitts)</w:t>
      </w:r>
    </w:p>
    <w:p w14:paraId="7C119E05" w14:textId="288C20EE" w:rsidR="00C22197" w:rsidRDefault="00C22197" w:rsidP="00C22197">
      <w:pPr>
        <w:pStyle w:val="ListParagraph"/>
        <w:numPr>
          <w:ilvl w:val="0"/>
          <w:numId w:val="1"/>
        </w:numPr>
      </w:pPr>
      <w:r>
        <w:t xml:space="preserve">Slide 3: Email Heidi </w:t>
      </w:r>
      <w:r w:rsidR="0031459C">
        <w:t xml:space="preserve">to participate in the </w:t>
      </w:r>
      <w:r w:rsidR="00D80CBF">
        <w:t>low-income</w:t>
      </w:r>
      <w:r w:rsidR="0031459C">
        <w:t xml:space="preserve"> subcommittee. There will be a maximum of three meetings for this subcommittee. These meetings will not start until after the legislative session.</w:t>
      </w:r>
    </w:p>
    <w:p w14:paraId="1D0F7F74" w14:textId="4F64A2D0" w:rsidR="0031459C" w:rsidRDefault="0031459C" w:rsidP="0031459C">
      <w:pPr>
        <w:pStyle w:val="ListParagraph"/>
        <w:numPr>
          <w:ilvl w:val="1"/>
          <w:numId w:val="1"/>
        </w:numPr>
      </w:pPr>
      <w:r>
        <w:t>Jim DesJardins: If interested and not on this call, how do they get involved?</w:t>
      </w:r>
    </w:p>
    <w:p w14:paraId="032A5BF2" w14:textId="3E4FD228" w:rsidR="0031459C" w:rsidRDefault="0031459C" w:rsidP="00D80CBF">
      <w:pPr>
        <w:pStyle w:val="ListParagraph"/>
        <w:numPr>
          <w:ilvl w:val="2"/>
          <w:numId w:val="1"/>
        </w:numPr>
      </w:pPr>
      <w:r>
        <w:t>Heid</w:t>
      </w:r>
      <w:r w:rsidR="00D80CBF">
        <w:t xml:space="preserve"> Pitts</w:t>
      </w:r>
      <w:r>
        <w:t>: The presentation will be on the website after the meeting, so PRAC members can see how to contact me to get on the subcommittee.</w:t>
      </w:r>
    </w:p>
    <w:p w14:paraId="4B01611D" w14:textId="14DD5BD7" w:rsidR="0031459C" w:rsidRDefault="0031459C" w:rsidP="0031459C">
      <w:pPr>
        <w:pStyle w:val="ListParagraph"/>
        <w:numPr>
          <w:ilvl w:val="1"/>
          <w:numId w:val="1"/>
        </w:numPr>
      </w:pPr>
      <w:r>
        <w:t>Edison</w:t>
      </w:r>
      <w:r w:rsidR="00D80CBF">
        <w:t xml:space="preserve"> Jimenez</w:t>
      </w:r>
      <w:r>
        <w:t>: Is there a deadline to participate?</w:t>
      </w:r>
    </w:p>
    <w:p w14:paraId="78D2B5D9" w14:textId="4C0C187A" w:rsidR="0031459C" w:rsidRDefault="0031459C" w:rsidP="00D80CBF">
      <w:pPr>
        <w:pStyle w:val="ListParagraph"/>
        <w:numPr>
          <w:ilvl w:val="2"/>
          <w:numId w:val="1"/>
        </w:numPr>
      </w:pPr>
      <w:r>
        <w:t>Heidi</w:t>
      </w:r>
      <w:r w:rsidR="00D80CBF">
        <w:t xml:space="preserve"> Pitts</w:t>
      </w:r>
      <w:r>
        <w:t xml:space="preserve">: Not really, but </w:t>
      </w:r>
      <w:r w:rsidR="00852A62">
        <w:t>just contact me</w:t>
      </w:r>
      <w:r>
        <w:t xml:space="preserve"> before the first meeting</w:t>
      </w:r>
      <w:r w:rsidR="00852A62">
        <w:t>;</w:t>
      </w:r>
      <w:r>
        <w:t xml:space="preserve"> </w:t>
      </w:r>
      <w:r w:rsidR="00852A62">
        <w:t xml:space="preserve">the first subcommittee meeting would be </w:t>
      </w:r>
      <w:r>
        <w:t>late February at the absolute earliest.</w:t>
      </w:r>
    </w:p>
    <w:p w14:paraId="5FDBC6DA" w14:textId="6CE36027" w:rsidR="0031459C" w:rsidRDefault="0031459C" w:rsidP="0031459C">
      <w:pPr>
        <w:pStyle w:val="ListParagraph"/>
        <w:numPr>
          <w:ilvl w:val="0"/>
          <w:numId w:val="1"/>
        </w:numPr>
      </w:pPr>
      <w:r>
        <w:t>Slide 4: We have talked about moving towards default TOD. The three components are the residential TOD pilot, changes to residential schedule 1A, and changes to distributed generation. None of these will be tackled in isolation, they must all be dealt with together</w:t>
      </w:r>
      <w:r w:rsidR="00852A62">
        <w:t>, holistically</w:t>
      </w:r>
      <w:r>
        <w:t>.</w:t>
      </w:r>
    </w:p>
    <w:p w14:paraId="779A47C8" w14:textId="2B60BCA6" w:rsidR="0031459C" w:rsidRDefault="0031459C" w:rsidP="0031459C">
      <w:pPr>
        <w:pStyle w:val="ListParagraph"/>
        <w:numPr>
          <w:ilvl w:val="0"/>
          <w:numId w:val="1"/>
        </w:numPr>
      </w:pPr>
      <w:r>
        <w:t>Slide 5: Super Off-Peak was deemed too complicated for the initial pilot, but the plan was always to introduce a Super Off-Peak at some point. We have 1,800 customers on the pilot</w:t>
      </w:r>
      <w:r w:rsidR="00D80CBF">
        <w:t xml:space="preserve">. </w:t>
      </w:r>
      <w:r>
        <w:t>89</w:t>
      </w:r>
      <w:r w:rsidR="00D80CBF">
        <w:t xml:space="preserve"> customers</w:t>
      </w:r>
      <w:r>
        <w:t xml:space="preserve"> have solar. 160</w:t>
      </w:r>
      <w:r w:rsidR="00D80CBF">
        <w:t xml:space="preserve"> customers</w:t>
      </w:r>
      <w:r>
        <w:t xml:space="preserve"> have been installed recently but haven’t been billed yet.</w:t>
      </w:r>
      <w:r w:rsidR="006D6577">
        <w:t xml:space="preserve"> 370 people are in the control group. </w:t>
      </w:r>
      <w:r w:rsidR="006D6577">
        <w:lastRenderedPageBreak/>
        <w:t>They will spend one year on the 1A rate, but will have all the tools that every pilot member does. There are 45 small power TOD customers. There are 100 3B/3D customers and 6 customers in the “other” category that encompass more rate schedules.</w:t>
      </w:r>
    </w:p>
    <w:p w14:paraId="48B21C3B" w14:textId="10CA2AD0" w:rsidR="006D6577" w:rsidRDefault="006D6577" w:rsidP="0031459C">
      <w:pPr>
        <w:pStyle w:val="ListParagraph"/>
        <w:numPr>
          <w:ilvl w:val="0"/>
          <w:numId w:val="1"/>
        </w:numPr>
      </w:pPr>
      <w:r>
        <w:t xml:space="preserve">Slide 6: This is an example email. We want to make sure we don’t overload customers with emails, but we want them to have </w:t>
      </w:r>
      <w:r w:rsidR="00852A62">
        <w:t>information</w:t>
      </w:r>
      <w:r>
        <w:t xml:space="preserve"> to understand their usage. This year, we will be looking at that balance</w:t>
      </w:r>
      <w:r w:rsidR="00852A62">
        <w:t xml:space="preserve"> and how to educate customers to utilize the information provided in the emails</w:t>
      </w:r>
      <w:r>
        <w:t>.</w:t>
      </w:r>
    </w:p>
    <w:p w14:paraId="59C83A30" w14:textId="0D5B9097" w:rsidR="006D6577" w:rsidRDefault="006D6577" w:rsidP="0031459C">
      <w:pPr>
        <w:pStyle w:val="ListParagraph"/>
        <w:numPr>
          <w:ilvl w:val="0"/>
          <w:numId w:val="1"/>
        </w:numPr>
      </w:pPr>
      <w:r>
        <w:t>Slide 7: This is the energy insights dashboard online. This has significantly more information than the emails. You can break down these insights by trackable appliances.</w:t>
      </w:r>
    </w:p>
    <w:p w14:paraId="39819ABC" w14:textId="0399577C" w:rsidR="006D6577" w:rsidRDefault="006D6577" w:rsidP="0031459C">
      <w:pPr>
        <w:pStyle w:val="ListParagraph"/>
        <w:numPr>
          <w:ilvl w:val="0"/>
          <w:numId w:val="1"/>
        </w:numPr>
      </w:pPr>
      <w:r>
        <w:t>Slide 8: This dashboard is looking at a specific day. The meters call into the system around 3am every day to update these dashboards. The on-peak hours are shaded pink.</w:t>
      </w:r>
      <w:r w:rsidR="00852A62">
        <w:t xml:space="preserve">  A customer could use this to see if their usage was higher during hours that they may not be at home or if there is high usage right before the off-peak period, then they can consider if they can shift usage to the cheaper off-peak period.</w:t>
      </w:r>
    </w:p>
    <w:p w14:paraId="2E15BAA8" w14:textId="17FF49B9" w:rsidR="00E270B7" w:rsidRDefault="00E270B7" w:rsidP="0031459C">
      <w:pPr>
        <w:pStyle w:val="ListParagraph"/>
        <w:numPr>
          <w:ilvl w:val="0"/>
          <w:numId w:val="1"/>
        </w:numPr>
      </w:pPr>
      <w:r>
        <w:t>Slide 9: Currently all customers get the Monthly summary energy report, but they can opt in to other emails. They can set up multiple email addresses to send this information to</w:t>
      </w:r>
      <w:r w:rsidR="000E3F15">
        <w:t xml:space="preserve"> so it is not just the one person who signed up for the TOD pilot</w:t>
      </w:r>
      <w:r>
        <w:t>.</w:t>
      </w:r>
    </w:p>
    <w:p w14:paraId="1FB7B837" w14:textId="7F942A6E" w:rsidR="00E270B7" w:rsidRDefault="00E270B7" w:rsidP="0031459C">
      <w:pPr>
        <w:pStyle w:val="ListParagraph"/>
        <w:numPr>
          <w:ilvl w:val="0"/>
          <w:numId w:val="1"/>
        </w:numPr>
      </w:pPr>
      <w:r>
        <w:t>Slide 10: We have started breaking out our residential data by on-</w:t>
      </w:r>
      <w:r w:rsidR="00867E61">
        <w:t>peak</w:t>
      </w:r>
      <w:r>
        <w:t>, off-</w:t>
      </w:r>
      <w:r w:rsidR="00867E61">
        <w:t>peak</w:t>
      </w:r>
      <w:r>
        <w:t>, and super off-peak. These are 4 different customers with different locations and types of dwellings.</w:t>
      </w:r>
    </w:p>
    <w:p w14:paraId="4B7E079B" w14:textId="458F4558" w:rsidR="00E270B7" w:rsidRDefault="00E270B7" w:rsidP="00E270B7">
      <w:pPr>
        <w:pStyle w:val="ListParagraph"/>
        <w:numPr>
          <w:ilvl w:val="1"/>
          <w:numId w:val="1"/>
        </w:numPr>
      </w:pPr>
      <w:r>
        <w:t>Edison</w:t>
      </w:r>
      <w:r w:rsidR="00867E61">
        <w:t xml:space="preserve"> Jimenez</w:t>
      </w:r>
      <w:r>
        <w:t>: You are thinking to propose this between rate cases?</w:t>
      </w:r>
    </w:p>
    <w:p w14:paraId="7E781012" w14:textId="78EE72C3" w:rsidR="00E270B7" w:rsidRDefault="00E270B7" w:rsidP="00867E61">
      <w:pPr>
        <w:pStyle w:val="ListParagraph"/>
        <w:numPr>
          <w:ilvl w:val="2"/>
          <w:numId w:val="1"/>
        </w:numPr>
      </w:pPr>
      <w:r>
        <w:t>Heidi</w:t>
      </w:r>
      <w:r w:rsidR="00867E61">
        <w:t xml:space="preserve"> Pitts</w:t>
      </w:r>
      <w:r>
        <w:t>: No, in the next rate case. We don’t want to make this the default without testing it first.</w:t>
      </w:r>
    </w:p>
    <w:p w14:paraId="1A094BCF" w14:textId="21345CB4" w:rsidR="00E270B7" w:rsidRDefault="00E270B7" w:rsidP="00E270B7">
      <w:pPr>
        <w:pStyle w:val="ListParagraph"/>
        <w:numPr>
          <w:ilvl w:val="0"/>
          <w:numId w:val="1"/>
        </w:numPr>
      </w:pPr>
      <w:r>
        <w:t xml:space="preserve">Slide 11: </w:t>
      </w:r>
      <w:r w:rsidR="006F70FE">
        <w:t>This slide shows if we use the commercial ratios for on</w:t>
      </w:r>
      <w:r w:rsidR="00656148">
        <w:t>-peak</w:t>
      </w:r>
      <w:r w:rsidR="006F70FE">
        <w:t>, off</w:t>
      </w:r>
      <w:r w:rsidR="00656148">
        <w:t>-peak</w:t>
      </w:r>
      <w:r w:rsidR="006F70FE">
        <w:t>, and super off</w:t>
      </w:r>
      <w:r w:rsidR="00656148">
        <w:t>-peak</w:t>
      </w:r>
    </w:p>
    <w:p w14:paraId="5CF822E7" w14:textId="0AABDC7D" w:rsidR="006F70FE" w:rsidRDefault="006F70FE" w:rsidP="00E270B7">
      <w:pPr>
        <w:pStyle w:val="ListParagraph"/>
        <w:numPr>
          <w:ilvl w:val="0"/>
          <w:numId w:val="1"/>
        </w:numPr>
      </w:pPr>
      <w:r>
        <w:t>Slide 12: The WHEV overnight charging rate acts essentially like a super-off-peak overnight, so this can replace the WHEV overnight charging rate for customers who have EVs and want TOD rates.</w:t>
      </w:r>
    </w:p>
    <w:p w14:paraId="05D23D82" w14:textId="73188723" w:rsidR="006F70FE" w:rsidRDefault="006F70FE" w:rsidP="006F70FE">
      <w:pPr>
        <w:pStyle w:val="ListParagraph"/>
        <w:numPr>
          <w:ilvl w:val="1"/>
          <w:numId w:val="1"/>
        </w:numPr>
      </w:pPr>
      <w:r>
        <w:t>Edison</w:t>
      </w:r>
      <w:r w:rsidR="00656148">
        <w:t xml:space="preserve"> Jimenez</w:t>
      </w:r>
      <w:r>
        <w:t>: Will this be the same structure and time periods as Commercial currently has in the pilot? These ratios are the same approved in the last rate schedule, yes?</w:t>
      </w:r>
    </w:p>
    <w:p w14:paraId="613B7FE4" w14:textId="5556DACA" w:rsidR="006F70FE" w:rsidRDefault="006F70FE" w:rsidP="00656148">
      <w:pPr>
        <w:pStyle w:val="ListParagraph"/>
        <w:numPr>
          <w:ilvl w:val="2"/>
          <w:numId w:val="1"/>
        </w:numPr>
      </w:pPr>
      <w:r>
        <w:t>Heidi</w:t>
      </w:r>
      <w:r w:rsidR="00656148">
        <w:t xml:space="preserve"> Pitts</w:t>
      </w:r>
      <w:r>
        <w:t>: Yes, that is correct.</w:t>
      </w:r>
    </w:p>
    <w:p w14:paraId="0F4F201E" w14:textId="66896053" w:rsidR="006F70FE" w:rsidRDefault="006F70FE" w:rsidP="006F70FE">
      <w:pPr>
        <w:pStyle w:val="ListParagraph"/>
        <w:numPr>
          <w:ilvl w:val="1"/>
          <w:numId w:val="1"/>
        </w:numPr>
      </w:pPr>
      <w:r>
        <w:t>Jim</w:t>
      </w:r>
      <w:r w:rsidR="00656148">
        <w:t xml:space="preserve"> DesJardins</w:t>
      </w:r>
      <w:r>
        <w:t>: For folks who have not signed up yet but want to, what is involved?</w:t>
      </w:r>
    </w:p>
    <w:p w14:paraId="37C08788" w14:textId="69CC94EE" w:rsidR="006F70FE" w:rsidRDefault="006F70FE" w:rsidP="00656148">
      <w:pPr>
        <w:pStyle w:val="ListParagraph"/>
        <w:numPr>
          <w:ilvl w:val="2"/>
          <w:numId w:val="1"/>
        </w:numPr>
      </w:pPr>
      <w:r>
        <w:lastRenderedPageBreak/>
        <w:t>Heidi</w:t>
      </w:r>
      <w:r w:rsidR="00656148">
        <w:t xml:space="preserve"> Pitts</w:t>
      </w:r>
      <w:r>
        <w:t>: You go to the TOD webpage and apply online. Up to 10,000 customers can join.</w:t>
      </w:r>
      <w:r w:rsidR="000E3F15">
        <w:t xml:space="preserve">  There is currently plenty of space.</w:t>
      </w:r>
      <w:r>
        <w:t xml:space="preserve"> Our 3</w:t>
      </w:r>
      <w:r w:rsidRPr="006F70FE">
        <w:rPr>
          <w:vertAlign w:val="superscript"/>
        </w:rPr>
        <w:t>rd</w:t>
      </w:r>
      <w:r>
        <w:t xml:space="preserve"> party evaluator separates new </w:t>
      </w:r>
      <w:r w:rsidR="000E3F15">
        <w:t xml:space="preserve">residential </w:t>
      </w:r>
      <w:r>
        <w:t>sign-ups into control and pilot groups</w:t>
      </w:r>
      <w:r w:rsidR="000E3F15">
        <w:t xml:space="preserve"> and provides that information to the TOD program manager, who contacts customers and notifies them which group they are in, then schedules the meter exchange.  It takes a few months.</w:t>
      </w:r>
    </w:p>
    <w:p w14:paraId="78D325D5" w14:textId="2159F8E7" w:rsidR="008113AA" w:rsidRPr="00DD130D" w:rsidRDefault="00DD130D" w:rsidP="008113AA">
      <w:pPr>
        <w:rPr>
          <w:u w:val="single"/>
        </w:rPr>
      </w:pPr>
      <w:r>
        <w:rPr>
          <w:u w:val="single"/>
        </w:rPr>
        <w:t>Changes to Existing Schedule 1A (Julio Aguirre)</w:t>
      </w:r>
    </w:p>
    <w:p w14:paraId="318462DD" w14:textId="7027409E" w:rsidR="008113AA" w:rsidRDefault="008113AA" w:rsidP="008113AA">
      <w:pPr>
        <w:pStyle w:val="ListParagraph"/>
        <w:numPr>
          <w:ilvl w:val="0"/>
          <w:numId w:val="2"/>
        </w:numPr>
      </w:pPr>
      <w:r>
        <w:t xml:space="preserve">Slide 13: We are beginning to analyze how customers benefit from TOD and how they benefit from our current residential rates. We are looking at what an opt-out from the default TOD rate might look like. </w:t>
      </w:r>
    </w:p>
    <w:p w14:paraId="30B1F014" w14:textId="19996298" w:rsidR="008113AA" w:rsidRDefault="008113AA" w:rsidP="008113AA">
      <w:pPr>
        <w:pStyle w:val="ListParagraph"/>
        <w:numPr>
          <w:ilvl w:val="0"/>
          <w:numId w:val="2"/>
        </w:numPr>
      </w:pPr>
      <w:r>
        <w:t>Slide 1</w:t>
      </w:r>
      <w:r w:rsidR="00AE59B2">
        <w:t>5: Here we are plotting customers by who are losers and winners based on % savings. The red zone are the customers who are using less than the average on-peak kWh, but are still getting higher bills. These are primarily low kWh users. The yellow zone are free riders. They use higher than average on-peak kWh but still save money on TOD.</w:t>
      </w:r>
    </w:p>
    <w:p w14:paraId="2F594910" w14:textId="4D46FC6B" w:rsidR="00AE59B2" w:rsidRDefault="00AE59B2" w:rsidP="008113AA">
      <w:pPr>
        <w:pStyle w:val="ListParagraph"/>
        <w:numPr>
          <w:ilvl w:val="0"/>
          <w:numId w:val="2"/>
        </w:numPr>
      </w:pPr>
      <w:r>
        <w:t>Slide 16: We showed a slide like this last time, but this slide is real data. We know TOD is not for everyone, but we want to offer every customer that opportunity and we want to offer the correct price signals.</w:t>
      </w:r>
    </w:p>
    <w:p w14:paraId="56AC7148" w14:textId="297B7236" w:rsidR="00AE59B2" w:rsidRDefault="00AE59B2" w:rsidP="008113AA">
      <w:pPr>
        <w:pStyle w:val="ListParagraph"/>
        <w:numPr>
          <w:ilvl w:val="0"/>
          <w:numId w:val="2"/>
        </w:numPr>
      </w:pPr>
      <w:r>
        <w:t>Slide 17: We know we cannot do this all in one rate case. We look to move to maybe flatten the rates (from 3 to 2 blocks) in the next rate case.</w:t>
      </w:r>
    </w:p>
    <w:p w14:paraId="7D0D7986" w14:textId="270019DD" w:rsidR="003B3C06" w:rsidRDefault="003B3C06" w:rsidP="008113AA">
      <w:pPr>
        <w:pStyle w:val="ListParagraph"/>
        <w:numPr>
          <w:ilvl w:val="0"/>
          <w:numId w:val="2"/>
        </w:numPr>
      </w:pPr>
      <w:r>
        <w:t>Slide 18: This shows the impact on a percent of bill basis from the current 3 block structure to a 2 block structure.</w:t>
      </w:r>
    </w:p>
    <w:p w14:paraId="2123EF97" w14:textId="644BAA62" w:rsidR="003B3C06" w:rsidRDefault="003B3C06" w:rsidP="008113AA">
      <w:pPr>
        <w:pStyle w:val="ListParagraph"/>
        <w:numPr>
          <w:ilvl w:val="0"/>
          <w:numId w:val="2"/>
        </w:numPr>
      </w:pPr>
      <w:r>
        <w:t>Slide 20: We also want to look at how our costs are being recovered in the customer charge. Currently, residential customers are not paying the full customers costs in the customer charge. This means that there is a subsidy of these costs, which affects distributed generation customers.</w:t>
      </w:r>
    </w:p>
    <w:p w14:paraId="0831DCF9" w14:textId="4EC1F48E" w:rsidR="005942F4" w:rsidRPr="00DD130D" w:rsidRDefault="00DD130D" w:rsidP="005942F4">
      <w:pPr>
        <w:rPr>
          <w:u w:val="single"/>
        </w:rPr>
      </w:pPr>
      <w:r>
        <w:rPr>
          <w:u w:val="single"/>
        </w:rPr>
        <w:t>Net Metering (Heidi Pitts)</w:t>
      </w:r>
    </w:p>
    <w:p w14:paraId="50861E88" w14:textId="46E5E64E" w:rsidR="005942F4" w:rsidRDefault="005942F4" w:rsidP="005942F4">
      <w:pPr>
        <w:pStyle w:val="ListParagraph"/>
        <w:numPr>
          <w:ilvl w:val="0"/>
          <w:numId w:val="3"/>
        </w:numPr>
      </w:pPr>
      <w:r>
        <w:t xml:space="preserve">Slide 22: This slide </w:t>
      </w:r>
      <w:r w:rsidR="006D0A51">
        <w:t>was from the August PRAC meeting and I’m re-showing it here just to set the stage again for what we will analyze regarding distributed generation.  This histogram shows the number of customers in each block who had a solar bank in June 2025  in the kWh range listed.  So for instance, the largest block on the right has 6,866 customers who had a solar bank between 1 and 527 kWh in June 2025.</w:t>
      </w:r>
    </w:p>
    <w:sectPr w:rsidR="005942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C5B94"/>
    <w:multiLevelType w:val="hybridMultilevel"/>
    <w:tmpl w:val="7A3A7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7E63"/>
    <w:multiLevelType w:val="hybridMultilevel"/>
    <w:tmpl w:val="EC3EA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A84203"/>
    <w:multiLevelType w:val="hybridMultilevel"/>
    <w:tmpl w:val="68C48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402622">
    <w:abstractNumId w:val="0"/>
  </w:num>
  <w:num w:numId="2" w16cid:durableId="2099397286">
    <w:abstractNumId w:val="1"/>
  </w:num>
  <w:num w:numId="3" w16cid:durableId="8393501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197"/>
    <w:rsid w:val="000E3F15"/>
    <w:rsid w:val="000E4D80"/>
    <w:rsid w:val="001B62EF"/>
    <w:rsid w:val="0031459C"/>
    <w:rsid w:val="00324565"/>
    <w:rsid w:val="003B3C06"/>
    <w:rsid w:val="00582677"/>
    <w:rsid w:val="005942F4"/>
    <w:rsid w:val="005E1D86"/>
    <w:rsid w:val="00656148"/>
    <w:rsid w:val="00674CE4"/>
    <w:rsid w:val="006A410C"/>
    <w:rsid w:val="006D0A51"/>
    <w:rsid w:val="006D6577"/>
    <w:rsid w:val="006F70FE"/>
    <w:rsid w:val="008113AA"/>
    <w:rsid w:val="00852A62"/>
    <w:rsid w:val="00867E61"/>
    <w:rsid w:val="008704B5"/>
    <w:rsid w:val="00881146"/>
    <w:rsid w:val="0092612F"/>
    <w:rsid w:val="00962923"/>
    <w:rsid w:val="00AC5EA5"/>
    <w:rsid w:val="00AE59B2"/>
    <w:rsid w:val="00C22197"/>
    <w:rsid w:val="00D80CBF"/>
    <w:rsid w:val="00DA5CB4"/>
    <w:rsid w:val="00DD130D"/>
    <w:rsid w:val="00DE37D5"/>
    <w:rsid w:val="00E270B7"/>
    <w:rsid w:val="00EF492B"/>
    <w:rsid w:val="00FC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3BB21"/>
  <w15:chartTrackingRefBased/>
  <w15:docId w15:val="{B03F614D-2B9E-4139-84FC-1F8587FD3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2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2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2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2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2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2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2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2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2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2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197"/>
    <w:rPr>
      <w:rFonts w:eastAsiaTheme="majorEastAsia" w:cstheme="majorBidi"/>
      <w:color w:val="272727" w:themeColor="text1" w:themeTint="D8"/>
    </w:rPr>
  </w:style>
  <w:style w:type="paragraph" w:styleId="Title">
    <w:name w:val="Title"/>
    <w:basedOn w:val="Normal"/>
    <w:next w:val="Normal"/>
    <w:link w:val="TitleChar"/>
    <w:uiPriority w:val="10"/>
    <w:qFormat/>
    <w:rsid w:val="00C22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197"/>
    <w:pPr>
      <w:spacing w:before="160"/>
      <w:jc w:val="center"/>
    </w:pPr>
    <w:rPr>
      <w:i/>
      <w:iCs/>
      <w:color w:val="404040" w:themeColor="text1" w:themeTint="BF"/>
    </w:rPr>
  </w:style>
  <w:style w:type="character" w:customStyle="1" w:styleId="QuoteChar">
    <w:name w:val="Quote Char"/>
    <w:basedOn w:val="DefaultParagraphFont"/>
    <w:link w:val="Quote"/>
    <w:uiPriority w:val="29"/>
    <w:rsid w:val="00C22197"/>
    <w:rPr>
      <w:i/>
      <w:iCs/>
      <w:color w:val="404040" w:themeColor="text1" w:themeTint="BF"/>
    </w:rPr>
  </w:style>
  <w:style w:type="paragraph" w:styleId="ListParagraph">
    <w:name w:val="List Paragraph"/>
    <w:basedOn w:val="Normal"/>
    <w:uiPriority w:val="34"/>
    <w:qFormat/>
    <w:rsid w:val="00C22197"/>
    <w:pPr>
      <w:ind w:left="720"/>
      <w:contextualSpacing/>
    </w:pPr>
  </w:style>
  <w:style w:type="character" w:styleId="IntenseEmphasis">
    <w:name w:val="Intense Emphasis"/>
    <w:basedOn w:val="DefaultParagraphFont"/>
    <w:uiPriority w:val="21"/>
    <w:qFormat/>
    <w:rsid w:val="00C22197"/>
    <w:rPr>
      <w:i/>
      <w:iCs/>
      <w:color w:val="0F4761" w:themeColor="accent1" w:themeShade="BF"/>
    </w:rPr>
  </w:style>
  <w:style w:type="paragraph" w:styleId="IntenseQuote">
    <w:name w:val="Intense Quote"/>
    <w:basedOn w:val="Normal"/>
    <w:next w:val="Normal"/>
    <w:link w:val="IntenseQuoteChar"/>
    <w:uiPriority w:val="30"/>
    <w:qFormat/>
    <w:rsid w:val="00C22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2197"/>
    <w:rPr>
      <w:i/>
      <w:iCs/>
      <w:color w:val="0F4761" w:themeColor="accent1" w:themeShade="BF"/>
    </w:rPr>
  </w:style>
  <w:style w:type="character" w:styleId="IntenseReference">
    <w:name w:val="Intense Reference"/>
    <w:basedOn w:val="DefaultParagraphFont"/>
    <w:uiPriority w:val="32"/>
    <w:qFormat/>
    <w:rsid w:val="00C2219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2438</TotalTime>
  <Pages>3</Pages>
  <Words>961</Words>
  <Characters>5480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MacDougall</dc:creator>
  <cp:keywords/>
  <dc:description/>
  <cp:lastModifiedBy>Pitts, Heidi</cp:lastModifiedBy>
  <cp:revision>13</cp:revision>
  <dcterms:created xsi:type="dcterms:W3CDTF">2026-01-20T19:54:00Z</dcterms:created>
  <dcterms:modified xsi:type="dcterms:W3CDTF">2026-01-25T01:19:00Z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67428c-8df2-41b3-925f-2e32f93f53ed_Enabled">
    <vt:lpwstr>true</vt:lpwstr>
  </property>
  <property fmtid="{D5CDD505-2E9C-101B-9397-08002B2CF9AE}" pid="3" name="MSIP_Label_f367428c-8df2-41b3-925f-2e32f93f53ed_SetDate">
    <vt:lpwstr>2026-01-25T01:14:28Z</vt:lpwstr>
  </property>
  <property fmtid="{D5CDD505-2E9C-101B-9397-08002B2CF9AE}" pid="4" name="MSIP_Label_f367428c-8df2-41b3-925f-2e32f93f53ed_Method">
    <vt:lpwstr>Standard</vt:lpwstr>
  </property>
  <property fmtid="{D5CDD505-2E9C-101B-9397-08002B2CF9AE}" pid="5" name="MSIP_Label_f367428c-8df2-41b3-925f-2e32f93f53ed_Name">
    <vt:lpwstr>f367428c-8df2-41b3-925f-2e32f93f53ed</vt:lpwstr>
  </property>
  <property fmtid="{D5CDD505-2E9C-101B-9397-08002B2CF9AE}" pid="6" name="MSIP_Label_f367428c-8df2-41b3-925f-2e32f93f53ed_SiteId">
    <vt:lpwstr>6c1ea1fd-d5ee-4dc8-bcfe-8877bd40388b</vt:lpwstr>
  </property>
  <property fmtid="{D5CDD505-2E9C-101B-9397-08002B2CF9AE}" pid="7" name="MSIP_Label_f367428c-8df2-41b3-925f-2e32f93f53ed_ActionId">
    <vt:lpwstr>2a317ee9-f5d0-44a9-b9f9-f06958ec4b00</vt:lpwstr>
  </property>
  <property fmtid="{D5CDD505-2E9C-101B-9397-08002B2CF9AE}" pid="8" name="MSIP_Label_f367428c-8df2-41b3-925f-2e32f93f53ed_ContentBits">
    <vt:lpwstr>0</vt:lpwstr>
  </property>
  <property fmtid="{D5CDD505-2E9C-101B-9397-08002B2CF9AE}" pid="9" name="MSIP_Label_f367428c-8df2-41b3-925f-2e32f93f53ed_Tag">
    <vt:lpwstr>10, 3, 0, 1</vt:lpwstr>
  </property>
</Properties>
</file>